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87038">
      <w:pPr>
        <w:pStyle w:val="2"/>
        <w:spacing w:line="560" w:lineRule="exact"/>
        <w:rPr>
          <w:rFonts w:ascii="黑体" w:hAnsi="黑体" w:eastAsia="黑体" w:cs="Times New Roman"/>
          <w:bCs w:val="0"/>
          <w:color w:val="auto"/>
          <w:kern w:val="2"/>
          <w:sz w:val="36"/>
          <w:szCs w:val="36"/>
        </w:rPr>
      </w:pPr>
      <w:r>
        <w:rPr>
          <w:rFonts w:hint="eastAsia" w:ascii="黑体" w:hAnsi="黑体" w:eastAsia="黑体" w:cs="Times New Roman"/>
          <w:bCs w:val="0"/>
          <w:color w:val="auto"/>
          <w:kern w:val="2"/>
          <w:sz w:val="36"/>
          <w:szCs w:val="36"/>
        </w:rPr>
        <w:t>吉林农业大学学生公寓管理办法</w:t>
      </w:r>
      <w:r>
        <w:rPr>
          <w:rFonts w:ascii="黑体" w:hAnsi="黑体" w:eastAsia="黑体" w:cs="Times New Roman"/>
          <w:bCs w:val="0"/>
          <w:color w:val="auto"/>
          <w:kern w:val="2"/>
          <w:sz w:val="36"/>
          <w:szCs w:val="36"/>
        </w:rPr>
        <w:t>(</w:t>
      </w:r>
      <w:r>
        <w:rPr>
          <w:rFonts w:hint="eastAsia" w:ascii="黑体" w:hAnsi="黑体" w:eastAsia="黑体" w:cs="Times New Roman"/>
          <w:bCs w:val="0"/>
          <w:color w:val="auto"/>
          <w:kern w:val="2"/>
          <w:sz w:val="36"/>
          <w:szCs w:val="36"/>
        </w:rPr>
        <w:t>试行</w:t>
      </w:r>
      <w:r>
        <w:rPr>
          <w:rFonts w:ascii="黑体" w:hAnsi="黑体" w:eastAsia="黑体" w:cs="Times New Roman"/>
          <w:bCs w:val="0"/>
          <w:color w:val="auto"/>
          <w:kern w:val="2"/>
          <w:sz w:val="36"/>
          <w:szCs w:val="36"/>
        </w:rPr>
        <w:t>)</w:t>
      </w:r>
    </w:p>
    <w:p w14:paraId="5355F59A">
      <w:pPr>
        <w:pStyle w:val="2"/>
        <w:spacing w:line="560" w:lineRule="exact"/>
        <w:rPr>
          <w:rFonts w:ascii="黑体" w:hAnsi="黑体" w:eastAsia="黑体" w:cs="Times New Roman"/>
          <w:bCs w:val="0"/>
          <w:color w:val="auto"/>
          <w:kern w:val="2"/>
          <w:sz w:val="36"/>
          <w:szCs w:val="36"/>
        </w:rPr>
      </w:pPr>
    </w:p>
    <w:p w14:paraId="23BBE5F2">
      <w:pPr>
        <w:pStyle w:val="2"/>
        <w:spacing w:line="560" w:lineRule="exact"/>
        <w:rPr>
          <w:rFonts w:ascii="黑体" w:hAnsi="黑体" w:eastAsia="黑体" w:cs="Times New Roman"/>
          <w:bCs w:val="0"/>
          <w:color w:val="auto"/>
          <w:kern w:val="2"/>
          <w:sz w:val="30"/>
          <w:szCs w:val="30"/>
        </w:rPr>
      </w:pPr>
      <w:r>
        <w:rPr>
          <w:rFonts w:hint="eastAsia" w:ascii="黑体" w:hAnsi="黑体" w:eastAsia="黑体" w:cs="Times New Roman"/>
          <w:bCs w:val="0"/>
          <w:color w:val="auto"/>
          <w:kern w:val="2"/>
          <w:sz w:val="30"/>
          <w:szCs w:val="30"/>
        </w:rPr>
        <w:t>第一章</w:t>
      </w:r>
      <w:r>
        <w:rPr>
          <w:rFonts w:ascii="黑体" w:hAnsi="黑体" w:eastAsia="黑体" w:cs="Times New Roman"/>
          <w:bCs w:val="0"/>
          <w:color w:val="auto"/>
          <w:kern w:val="2"/>
          <w:sz w:val="30"/>
          <w:szCs w:val="30"/>
        </w:rPr>
        <w:t xml:space="preserve">  </w:t>
      </w:r>
      <w:r>
        <w:rPr>
          <w:rFonts w:hint="eastAsia" w:ascii="黑体" w:hAnsi="黑体" w:eastAsia="黑体" w:cs="Times New Roman"/>
          <w:bCs w:val="0"/>
          <w:color w:val="auto"/>
          <w:kern w:val="2"/>
          <w:sz w:val="30"/>
          <w:szCs w:val="30"/>
        </w:rPr>
        <w:t>总则</w:t>
      </w:r>
    </w:p>
    <w:p w14:paraId="7A7135F3">
      <w:pPr>
        <w:ind w:firstLine="602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第一条</w:t>
      </w:r>
      <w:r>
        <w:rPr>
          <w:rFonts w:ascii="黑体" w:hAnsi="黑体" w:eastAsia="黑体" w:cs="仿宋_GB2312"/>
          <w:b/>
          <w:sz w:val="30"/>
          <w:szCs w:val="30"/>
        </w:rPr>
        <w:t xml:space="preserve"> </w:t>
      </w:r>
      <w:r>
        <w:rPr>
          <w:rFonts w:hint="eastAsia" w:ascii="黑体" w:hAnsi="黑体" w:eastAsia="黑体" w:cs="仿宋_GB2312"/>
          <w:sz w:val="30"/>
          <w:szCs w:val="30"/>
        </w:rPr>
        <w:t>为切实保障住宿学生人身、财产等安全，创建思政先行、秩序良好、安全卫生、文明高雅的学生住宿环境，根据《普通高等学校学生管理规定》、《高等学校学生行为准则》、《吉林农业大学章程》、《吉林农业大学学生违纪处分规定（试行）》等文件精神，特制定本办法。</w:t>
      </w:r>
    </w:p>
    <w:p w14:paraId="642F9E97">
      <w:pPr>
        <w:ind w:firstLine="602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第二条</w:t>
      </w:r>
      <w:r>
        <w:rPr>
          <w:rFonts w:ascii="黑体" w:hAnsi="黑体" w:eastAsia="黑体" w:cs="仿宋_GB2312"/>
          <w:b/>
          <w:sz w:val="30"/>
          <w:szCs w:val="30"/>
        </w:rPr>
        <w:t xml:space="preserve"> </w:t>
      </w:r>
      <w:r>
        <w:rPr>
          <w:rFonts w:hint="eastAsia" w:ascii="黑体" w:hAnsi="黑体" w:eastAsia="黑体" w:cs="仿宋_GB2312"/>
          <w:sz w:val="30"/>
          <w:szCs w:val="30"/>
        </w:rPr>
        <w:t>学校成立学生公寓管理指导委员会，指导学生公寓管理服务工作。</w:t>
      </w:r>
    </w:p>
    <w:p w14:paraId="11E3F5AD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由学校分管学生工作的校领导任主任，分管意识形态、安全、后勤、研究生、留学生、培训生、国有资产工作的校领导任副主任；学生工作处、后勤保障处、保卫处、研究生工作部、国际合作与交流处、国际教育交流学院、继续教育学院、宣传部、计划财务处、团委、大学生心理咨询中心、校医院、国有资产管理处等相关部门负责人、各学院学生工作负责人任委员。</w:t>
      </w:r>
    </w:p>
    <w:p w14:paraId="7154BA1F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办公室设在学生处（学生公寓管理服务中心）。</w:t>
      </w:r>
    </w:p>
    <w:p w14:paraId="5A753404">
      <w:pPr>
        <w:ind w:firstLine="602" w:firstLineChars="200"/>
        <w:jc w:val="center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第二章</w:t>
      </w:r>
      <w:r>
        <w:rPr>
          <w:rFonts w:ascii="黑体" w:hAnsi="黑体" w:eastAsia="黑体" w:cs="仿宋_GB2312"/>
          <w:b/>
          <w:sz w:val="30"/>
          <w:szCs w:val="30"/>
        </w:rPr>
        <w:t xml:space="preserve">  </w:t>
      </w:r>
      <w:r>
        <w:rPr>
          <w:rFonts w:hint="eastAsia" w:ascii="黑体" w:hAnsi="黑体" w:eastAsia="黑体" w:cs="仿宋_GB2312"/>
          <w:b/>
          <w:sz w:val="30"/>
          <w:szCs w:val="30"/>
        </w:rPr>
        <w:t>相关部门职责</w:t>
      </w:r>
    </w:p>
    <w:p w14:paraId="5D5967ED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第三条　</w:t>
      </w:r>
      <w:r>
        <w:rPr>
          <w:rFonts w:hint="eastAsia" w:ascii="黑体" w:hAnsi="黑体" w:eastAsia="黑体" w:cs="仿宋_GB2312"/>
          <w:b/>
          <w:sz w:val="30"/>
          <w:szCs w:val="30"/>
        </w:rPr>
        <w:t>学生工作处（学生公寓管理服务中心）职责：</w:t>
      </w:r>
    </w:p>
    <w:p w14:paraId="49F4CD35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（一）按照学校相关规定，确定公寓管理运行机制，明确各部门工作职责，协调相关部门做好学生公寓管理和服务工作；</w:t>
      </w:r>
    </w:p>
    <w:p w14:paraId="4F71497D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（二）负责开展学生公寓思想政治教育、公寓文化建设、行为养成教育、安全教育管理与检查、内务管理、学生公寓检查评比评价等，及时纠正违反学校公寓管理办法的行为，并依规进行处理；</w:t>
      </w:r>
    </w:p>
    <w:p w14:paraId="481D1514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（三）负责统筹指导各培养单位进行学生公寓管理，负责公寓管理员、门卫、更夫的管理，发挥其在公寓管理工作中的关键作用；</w:t>
      </w:r>
    </w:p>
    <w:p w14:paraId="1EBE83D9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（四）负责公寓床位管理，统筹各单位为学生办理入住和退宿；</w:t>
      </w:r>
    </w:p>
    <w:p w14:paraId="0DD4DEAC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（五）组建学生公寓自我管理教育组织，指导其制定公约，开展相关工作，引导学生自我教育、自我管理、自我服务；</w:t>
      </w:r>
    </w:p>
    <w:p w14:paraId="3A6F20DC">
      <w:pPr>
        <w:ind w:firstLine="600" w:firstLineChars="200"/>
        <w:rPr>
          <w:rFonts w:ascii="黑体" w:hAnsi="黑体" w:eastAsia="黑体" w:cs="仿宋_GB2312"/>
          <w:color w:val="FF0000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（六）负责公寓固定资产的具体管理与维护工作，提出学生公寓建设、维护的使用需求；</w:t>
      </w:r>
    </w:p>
    <w:p w14:paraId="544C707C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（七）负责制定学生公寓运营管理经费预算；</w:t>
      </w:r>
    </w:p>
    <w:p w14:paraId="138439B7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（八）负责物业保洁公司招标（含相关小型维修），以及服务质量监督；</w:t>
      </w:r>
    </w:p>
    <w:p w14:paraId="52A6CDD6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（九）学校交办的其他事务。</w:t>
      </w:r>
    </w:p>
    <w:p w14:paraId="643378F6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第四条　</w:t>
      </w:r>
      <w:r>
        <w:rPr>
          <w:rFonts w:hint="eastAsia" w:ascii="黑体" w:hAnsi="黑体" w:eastAsia="黑体" w:cs="仿宋_GB2312"/>
          <w:b/>
          <w:sz w:val="30"/>
          <w:szCs w:val="30"/>
        </w:rPr>
        <w:t>后勤保障处职责：</w:t>
      </w:r>
    </w:p>
    <w:p w14:paraId="25B456A0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（一）负责学生公寓水、电、暖、盥洗间、水房、屋面防水等基础设施、设备的维修维护，公共区域卫生管理等，保障设施设备安全；</w:t>
      </w:r>
    </w:p>
    <w:p w14:paraId="126C0920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（二）负责学生公寓楼房维修、改造和修缮管理，根据各楼设施的使用年限等标准，制定年度大修计划，并组织施工；</w:t>
      </w:r>
    </w:p>
    <w:p w14:paraId="55A6D1A9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（三）学校交办的其他事务。</w:t>
      </w:r>
    </w:p>
    <w:p w14:paraId="7BC633B5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第五条　</w:t>
      </w:r>
      <w:r>
        <w:rPr>
          <w:rFonts w:hint="eastAsia" w:ascii="黑体" w:hAnsi="黑体" w:eastAsia="黑体" w:cs="仿宋_GB2312"/>
          <w:b/>
          <w:sz w:val="30"/>
          <w:szCs w:val="30"/>
        </w:rPr>
        <w:t>保卫处职责：</w:t>
      </w:r>
    </w:p>
    <w:p w14:paraId="7DBA957F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（一）负责学生公寓安全督察，开展安全检查，督促相关责任单位整改安全隐患；</w:t>
      </w:r>
    </w:p>
    <w:p w14:paraId="7A0614F5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（二）负责对公寓门卫更夫安保工作进行指导、监管；</w:t>
      </w:r>
    </w:p>
    <w:p w14:paraId="565EE387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（三）会同相关职能部门处置突发事件，配合公安消防部门处理学生公寓区各类治安及其它案件；</w:t>
      </w:r>
    </w:p>
    <w:p w14:paraId="114B9ADF">
      <w:pPr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（四）学校交办的其他事务。</w:t>
      </w:r>
    </w:p>
    <w:p w14:paraId="1C8114E9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第六条　计划</w:t>
      </w:r>
      <w:r>
        <w:rPr>
          <w:rFonts w:hint="eastAsia" w:ascii="黑体" w:hAnsi="黑体" w:eastAsia="黑体" w:cs="仿宋_GB2312"/>
          <w:b/>
          <w:sz w:val="30"/>
          <w:szCs w:val="30"/>
        </w:rPr>
        <w:t>财务处职责：</w:t>
      </w:r>
    </w:p>
    <w:p w14:paraId="1F0BF574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（一）审核确定住宿费标准；</w:t>
      </w:r>
    </w:p>
    <w:p w14:paraId="28D42F92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（二）负责统筹住宿费收缴、退费、欠费反馈等相关工作。</w:t>
      </w:r>
    </w:p>
    <w:p w14:paraId="6F31B201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第七条　</w:t>
      </w:r>
      <w:r>
        <w:rPr>
          <w:rFonts w:hint="eastAsia" w:ascii="黑体" w:hAnsi="黑体" w:eastAsia="黑体" w:cs="仿宋_GB2312"/>
          <w:b/>
          <w:sz w:val="30"/>
          <w:szCs w:val="30"/>
        </w:rPr>
        <w:t>研究生工作部职责：</w:t>
      </w:r>
    </w:p>
    <w:p w14:paraId="6086B285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（一）负责统筹全校研究生住宿管理；</w:t>
      </w:r>
    </w:p>
    <w:p w14:paraId="2A7B705C">
      <w:pPr>
        <w:ind w:left="567"/>
        <w:rPr>
          <w:rFonts w:ascii="黑体" w:hAnsi="黑体" w:eastAsia="黑体" w:cs="仿宋_GB2312"/>
          <w:color w:val="FF0000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（二）统筹研究生公寓思政、文化建设工作，安全教育工作；</w:t>
      </w:r>
    </w:p>
    <w:p w14:paraId="5C923D4E">
      <w:pPr>
        <w:ind w:firstLine="600" w:firstLineChars="200"/>
        <w:rPr>
          <w:rFonts w:ascii="黑体" w:hAnsi="黑体" w:eastAsia="黑体" w:cs="仿宋_GB2312"/>
          <w:color w:val="FF0000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（三）组织查处研究生公寓违纪行为。</w:t>
      </w:r>
    </w:p>
    <w:p w14:paraId="7146C8E7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第八条　</w:t>
      </w:r>
      <w:r>
        <w:rPr>
          <w:rFonts w:hint="eastAsia" w:ascii="黑体" w:hAnsi="黑体" w:eastAsia="黑体" w:cs="仿宋_GB2312"/>
          <w:b/>
          <w:sz w:val="30"/>
          <w:szCs w:val="30"/>
        </w:rPr>
        <w:t>国际教育交流学院职责：</w:t>
      </w:r>
    </w:p>
    <w:p w14:paraId="43963184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（一）负责统筹全校留学生住宿管理；</w:t>
      </w:r>
    </w:p>
    <w:p w14:paraId="73F6687F">
      <w:pPr>
        <w:ind w:firstLine="600" w:firstLineChars="200"/>
        <w:rPr>
          <w:rFonts w:ascii="黑体" w:hAnsi="黑体" w:eastAsia="黑体" w:cs="仿宋_GB2312"/>
          <w:color w:val="FF0000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（二）统筹留学生寝室文化建设工作，安全教育工作；</w:t>
      </w:r>
    </w:p>
    <w:p w14:paraId="4F13BE48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（三）组织查处留学生公寓违纪行为。</w:t>
      </w:r>
    </w:p>
    <w:p w14:paraId="4377AA98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第九条</w:t>
      </w:r>
      <w:r>
        <w:rPr>
          <w:rFonts w:ascii="黑体" w:hAnsi="黑体" w:eastAsia="黑体" w:cs="仿宋_GB2312"/>
          <w:b/>
          <w:sz w:val="30"/>
          <w:szCs w:val="30"/>
        </w:rPr>
        <w:t xml:space="preserve">  </w:t>
      </w:r>
      <w:r>
        <w:rPr>
          <w:rFonts w:hint="eastAsia" w:ascii="黑体" w:hAnsi="黑体" w:eastAsia="黑体" w:cs="仿宋_GB2312"/>
          <w:b/>
          <w:sz w:val="30"/>
          <w:szCs w:val="30"/>
        </w:rPr>
        <w:t>继续教育学院职责：</w:t>
      </w:r>
    </w:p>
    <w:p w14:paraId="60D86C46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（一）负责统筹全校培训生住宿管理；</w:t>
      </w:r>
    </w:p>
    <w:p w14:paraId="69BE9836">
      <w:pPr>
        <w:ind w:firstLine="600" w:firstLineChars="200"/>
        <w:rPr>
          <w:rFonts w:ascii="黑体" w:hAnsi="黑体" w:eastAsia="黑体" w:cs="仿宋_GB2312"/>
          <w:color w:val="FF0000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（二）统筹培训生寝室文化建设工作，安全教育工作；</w:t>
      </w:r>
    </w:p>
    <w:p w14:paraId="4FE24734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（三）组织查处培训生公寓违纪行为。</w:t>
      </w:r>
    </w:p>
    <w:p w14:paraId="36D26BD6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第十条　校团委职责：</w:t>
      </w:r>
    </w:p>
    <w:p w14:paraId="417FB155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依托学生会以及学生社团组织，充分发挥学生在公寓管理中参与自我管理、服务、监督和文化建设的积极作用。</w:t>
      </w:r>
    </w:p>
    <w:p w14:paraId="5AC2D362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第十一条</w:t>
      </w:r>
      <w:r>
        <w:rPr>
          <w:rFonts w:ascii="黑体" w:hAnsi="黑体" w:eastAsia="黑体" w:cs="仿宋_GB2312"/>
          <w:b/>
          <w:sz w:val="30"/>
          <w:szCs w:val="30"/>
        </w:rPr>
        <w:t xml:space="preserve">  </w:t>
      </w:r>
      <w:r>
        <w:rPr>
          <w:rFonts w:hint="eastAsia" w:ascii="黑体" w:hAnsi="黑体" w:eastAsia="黑体" w:cs="仿宋_GB2312"/>
          <w:b/>
          <w:sz w:val="30"/>
          <w:szCs w:val="30"/>
        </w:rPr>
        <w:t>校医院职责：</w:t>
      </w:r>
    </w:p>
    <w:p w14:paraId="7F3437B5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负责贯彻执行传染病防治法规，实施有效监督，提供卫生防疫咨询和技术指导。</w:t>
      </w:r>
    </w:p>
    <w:p w14:paraId="114A042E">
      <w:pPr>
        <w:ind w:firstLine="602" w:firstLineChars="200"/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第十二条</w:t>
      </w:r>
      <w:r>
        <w:rPr>
          <w:rFonts w:ascii="黑体" w:hAnsi="黑体" w:eastAsia="黑体" w:cs="仿宋_GB2312"/>
          <w:b/>
          <w:sz w:val="30"/>
          <w:szCs w:val="30"/>
        </w:rPr>
        <w:t xml:space="preserve">  </w:t>
      </w:r>
      <w:r>
        <w:rPr>
          <w:rFonts w:hint="eastAsia" w:ascii="黑体" w:hAnsi="黑体" w:eastAsia="黑体" w:cs="仿宋_GB2312"/>
          <w:b/>
          <w:sz w:val="30"/>
          <w:szCs w:val="30"/>
        </w:rPr>
        <w:t>各培养单位职责：</w:t>
      </w:r>
    </w:p>
    <w:p w14:paraId="5F8F2210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（一）负责本单位学生的教育引导工作，组织学生认真学习公寓管理相关规章制度；督促学生自觉维护公寓秩序；大力宣传防火、防盗及安全用电等相关安全常识，提高学生的自我防范意识；</w:t>
      </w:r>
    </w:p>
    <w:p w14:paraId="111AB959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（二）负责定期检查学生公寓，对学生违规用电、内务卫生规范管理，纠正各类不文明行为；对违规学生进行批评教育，并责令整改，依据相关规定对违纪学生进行纪律处分；</w:t>
      </w:r>
    </w:p>
    <w:p w14:paraId="494556A2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（三）负责按照本办法和相关规定做好本单位学生的入住、调宿、退宿和校外住宿的审核、登记与报告工作；</w:t>
      </w:r>
    </w:p>
    <w:p w14:paraId="041973C0">
      <w:pPr>
        <w:ind w:firstLine="600" w:firstLineChars="200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（四）开展学生公寓文明建设，充分发挥公寓文化育人功能。</w:t>
      </w:r>
    </w:p>
    <w:p w14:paraId="5F7A39A1">
      <w:pPr>
        <w:ind w:firstLine="602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第十三条</w:t>
      </w:r>
      <w:r>
        <w:rPr>
          <w:rFonts w:ascii="黑体" w:hAnsi="黑体" w:eastAsia="黑体" w:cs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 w:cs="仿宋_GB2312"/>
          <w:sz w:val="30"/>
          <w:szCs w:val="30"/>
        </w:rPr>
        <w:t>学校有关职能部门各司其责，共同做好学生公寓管理服务工作。</w:t>
      </w:r>
    </w:p>
    <w:p w14:paraId="6F01CE1F">
      <w:pPr>
        <w:widowControl/>
        <w:spacing w:line="560" w:lineRule="exac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第三章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b/>
          <w:sz w:val="30"/>
          <w:szCs w:val="30"/>
        </w:rPr>
        <w:t>住宿管理</w:t>
      </w:r>
    </w:p>
    <w:p w14:paraId="334D6609">
      <w:pPr>
        <w:widowControl/>
        <w:spacing w:line="5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第十四条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学生需缴费住宿，公寓实行按年度收费，学校计划财务处制定收费制度</w:t>
      </w:r>
      <w:r>
        <w:rPr>
          <w:rFonts w:hint="eastAsia" w:ascii="黑体" w:hAnsi="黑体" w:eastAsia="黑体"/>
          <w:color w:val="000000"/>
          <w:sz w:val="30"/>
          <w:szCs w:val="30"/>
        </w:rPr>
        <w:t>，</w:t>
      </w:r>
      <w:r>
        <w:rPr>
          <w:rFonts w:hint="eastAsia" w:ascii="黑体" w:hAnsi="黑体" w:eastAsia="黑体"/>
          <w:sz w:val="30"/>
          <w:szCs w:val="30"/>
        </w:rPr>
        <w:t>严格按照物价部门核定的标准收取。</w:t>
      </w:r>
    </w:p>
    <w:p w14:paraId="3B503AF7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第十五条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住宿的寝室和床位由各学院统一安排。学生须持学院有关凭证，到公寓办理住宿登记手续。未经学生公寓管理服务中心、学院学生工作办公室同意，任何单位和个人不得擅自调换或占用公寓房间和床位，学生个人严禁私自转借、出租个人床位。</w:t>
      </w:r>
    </w:p>
    <w:p w14:paraId="0FF2EB74">
      <w:pPr>
        <w:widowControl/>
        <w:spacing w:line="560" w:lineRule="exact"/>
        <w:ind w:firstLine="602" w:firstLineChars="200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第十六条</w:t>
      </w:r>
      <w:r>
        <w:rPr>
          <w:rFonts w:ascii="黑体" w:hAnsi="黑体" w:eastAsia="黑体" w:cs="宋体"/>
          <w:b/>
          <w:kern w:val="0"/>
          <w:sz w:val="30"/>
          <w:szCs w:val="30"/>
        </w:rPr>
        <w:t xml:space="preserve">  </w:t>
      </w:r>
      <w:r>
        <w:rPr>
          <w:rFonts w:hint="eastAsia" w:ascii="黑体" w:hAnsi="黑体" w:eastAsia="黑体" w:cs="宋体"/>
          <w:kern w:val="0"/>
          <w:sz w:val="30"/>
          <w:szCs w:val="30"/>
        </w:rPr>
        <w:t>因特殊情况调整更换寝室的，应遵守下列规定：</w:t>
      </w:r>
    </w:p>
    <w:p w14:paraId="753F6CD2">
      <w:pPr>
        <w:widowControl/>
        <w:spacing w:line="560" w:lineRule="exact"/>
        <w:ind w:firstLine="600" w:firstLineChars="200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（一）学生本人向所在学院提出申请，学院审核同意后出具调寝证明。</w:t>
      </w:r>
    </w:p>
    <w:p w14:paraId="1D3EB086">
      <w:pPr>
        <w:widowControl/>
        <w:spacing w:line="560" w:lineRule="exact"/>
        <w:ind w:firstLine="600" w:firstLineChars="200"/>
        <w:rPr>
          <w:rFonts w:ascii="黑体" w:hAnsi="黑体" w:eastAsia="黑体" w:cs="宋体"/>
          <w:color w:val="FF0000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（二）各学院须将调寝证明报公寓管理服务中心，经审核通过后方可调寝。寝室收费标准变更须报财务处备案。</w:t>
      </w:r>
    </w:p>
    <w:p w14:paraId="0906BE74">
      <w:pPr>
        <w:widowControl/>
        <w:spacing w:line="560" w:lineRule="exact"/>
        <w:ind w:firstLine="600" w:firstLineChars="200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（三）调寝过程中，原寝室的所有备品一律不得带入调整后的寝室，并上交原寝室钥匙。</w:t>
      </w:r>
    </w:p>
    <w:p w14:paraId="62C51D57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第十七条</w:t>
      </w:r>
      <w:r>
        <w:rPr>
          <w:rFonts w:ascii="黑体" w:hAnsi="黑体" w:eastAsia="黑体" w:cs="宋体"/>
          <w:b/>
          <w:kern w:val="0"/>
          <w:sz w:val="30"/>
          <w:szCs w:val="30"/>
        </w:rPr>
        <w:t xml:space="preserve">  </w:t>
      </w:r>
      <w:r>
        <w:rPr>
          <w:rFonts w:hint="eastAsia" w:ascii="黑体" w:hAnsi="黑体" w:eastAsia="黑体" w:cs="宋体"/>
          <w:kern w:val="0"/>
          <w:sz w:val="30"/>
          <w:szCs w:val="30"/>
        </w:rPr>
        <w:t>假期留校学生由公寓管理服务中心、学生处、研工部安排集中住宿，经各学院汇总后统一报公寓管理服务中心备案，凭《假期留校出入证》进出公寓，遇有</w:t>
      </w:r>
      <w:r>
        <w:rPr>
          <w:rFonts w:hint="eastAsia" w:ascii="黑体" w:hAnsi="黑体" w:eastAsia="黑体"/>
          <w:sz w:val="30"/>
          <w:szCs w:val="30"/>
        </w:rPr>
        <w:t>维修改造工程时需配合学校腾退寝室。</w:t>
      </w:r>
    </w:p>
    <w:p w14:paraId="3F036B19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第</w:t>
      </w:r>
      <w:r>
        <w:rPr>
          <w:rFonts w:hint="eastAsia" w:ascii="黑体" w:hAnsi="黑体" w:eastAsia="黑体"/>
          <w:b/>
          <w:sz w:val="30"/>
          <w:szCs w:val="30"/>
        </w:rPr>
        <w:t>十八条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color w:val="000000"/>
          <w:sz w:val="30"/>
          <w:szCs w:val="30"/>
        </w:rPr>
        <w:t>各学院辅导员、公寓管理员要及时掌握留校学生的基本情况，重点做好学生人身和财物安全防范工作。贵重物品及大量现金等禁止放在寝室内，丢失责任自负。</w:t>
      </w:r>
    </w:p>
    <w:p w14:paraId="0130656B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第十九条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学生毕业离校，按下列程序办理：</w:t>
      </w:r>
    </w:p>
    <w:p w14:paraId="38AF6A5A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（一）学生毕业离校前，须由公寓管理员清点设施与备品，回收寝室钥匙，然后签发《离校退寝通知单》，盖专用章。学生将《离校退寝通知单》交所属学院，方可离校。</w:t>
      </w:r>
    </w:p>
    <w:p w14:paraId="3C8FC62E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（二）对个人原因造成损坏或丢失的物品，应予赔偿。对责任不清的，赔偿费用由本寝室全体学生平均分摊，共同承担。</w:t>
      </w:r>
    </w:p>
    <w:p w14:paraId="72B29C96">
      <w:pPr>
        <w:widowControl/>
        <w:spacing w:line="5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学生因故中途退寝，按照毕业离校前退寝流程，办理离校手续。凡未到公寓管理服务中心办理退宿手续的学生，正常交纳公寓费。</w:t>
      </w:r>
    </w:p>
    <w:p w14:paraId="492E2A71">
      <w:pPr>
        <w:widowControl/>
        <w:spacing w:line="560" w:lineRule="exact"/>
        <w:ind w:firstLine="602" w:firstLineChars="200"/>
        <w:rPr>
          <w:rFonts w:ascii="黑体" w:hAnsi="黑体" w:eastAsia="黑体" w:cs="宋体"/>
          <w:b/>
          <w:kern w:val="0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第二十一条</w:t>
      </w:r>
      <w:r>
        <w:rPr>
          <w:rFonts w:ascii="黑体" w:hAnsi="黑体" w:eastAsia="黑体"/>
          <w:b/>
          <w:color w:val="FF0000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公寓管理服务中心有权对学生住宿床位实行动态调整，对因故空出的床位将及时加以整合，有关单位、学院和学生须积极配合。</w:t>
      </w:r>
    </w:p>
    <w:p w14:paraId="0B1F05F3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第二十二条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毕业学生不得滞留在公寓内，须在学校规定的期限内搬出原公寓，并带走所有个人物品。</w:t>
      </w:r>
    </w:p>
    <w:p w14:paraId="4033E709">
      <w:pPr>
        <w:widowControl/>
        <w:spacing w:line="560" w:lineRule="exac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第四章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出入管理</w:t>
      </w:r>
    </w:p>
    <w:p w14:paraId="2233211C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第二十三条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对有性别规定的公寓，异性学生不得进入；同性别家长看望学生，须登记并经管理人员同意方可进入。</w:t>
      </w:r>
    </w:p>
    <w:p w14:paraId="1E89E4AC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第二十四条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因工作等原因需进入公寓的外来人员，须登记并经管理人员同意方可进入，并严格掌握离开时间。</w:t>
      </w:r>
    </w:p>
    <w:p w14:paraId="2B16687D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第二十五条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在规定的就寝时间内，学生不得晚归和夜出公寓。特殊情况晚归、夜出的学生，须登记并经管理人员同意后，方可入内或外出。</w:t>
      </w:r>
    </w:p>
    <w:p w14:paraId="15B33A43">
      <w:pPr>
        <w:widowControl/>
        <w:spacing w:line="560" w:lineRule="exac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第五章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b/>
          <w:sz w:val="30"/>
          <w:szCs w:val="30"/>
        </w:rPr>
        <w:t>寝室管理</w:t>
      </w:r>
    </w:p>
    <w:p w14:paraId="17CECE52">
      <w:pPr>
        <w:widowControl/>
        <w:spacing w:line="560" w:lineRule="exact"/>
        <w:ind w:firstLine="602" w:firstLineChars="200"/>
        <w:rPr>
          <w:rFonts w:ascii="黑体" w:hAnsi="黑体" w:eastAsia="黑体"/>
          <w:color w:val="FF0000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第二十六条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学生应自觉遵守寝室管理秩序，遵守作息时间，按时归寝、就寝和熄灯等，不能影响他人休息。</w:t>
      </w:r>
    </w:p>
    <w:p w14:paraId="73CDD92E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第二十七条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住宿学生应该严格遵守校规校纪，认真学习《吉林农业大学学生违纪处分规定（试行）》等制度，杜绝相关规定制度内明确的违纪行为，否则将依法依规接受学校乃至法律的处理与制裁。</w:t>
      </w:r>
    </w:p>
    <w:p w14:paraId="3B11BF29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第二十八条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住宿学生应该保持室内清洁卫生，严格按照《吉林农业大学寝室内务检查评比标准》做好内务整理，清扫的垃圾应放在盥洗室指定垃圾箱内。</w:t>
      </w:r>
    </w:p>
    <w:p w14:paraId="32DF4EB4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第二十九条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学生离开寝室要人走断电，及时关灯，关闭电脑、手机充电器、台灯等一切用电设备，消除安全隐患，寝室供电实行定时定量、超量付费原则，超额部分须学生自行承担。</w:t>
      </w:r>
    </w:p>
    <w:p w14:paraId="3BDB1BD1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遇有火警、火灾等事故时，应及时报校园报警中心电话</w:t>
      </w:r>
      <w:r>
        <w:rPr>
          <w:rFonts w:ascii="黑体" w:hAnsi="黑体" w:eastAsia="黑体"/>
          <w:sz w:val="30"/>
          <w:szCs w:val="30"/>
        </w:rPr>
        <w:t>84533110</w:t>
      </w:r>
      <w:r>
        <w:rPr>
          <w:rFonts w:hint="eastAsia" w:ascii="黑体" w:hAnsi="黑体" w:eastAsia="黑体"/>
          <w:sz w:val="30"/>
          <w:szCs w:val="30"/>
        </w:rPr>
        <w:t>或火警</w:t>
      </w:r>
      <w:r>
        <w:rPr>
          <w:rFonts w:ascii="黑体" w:hAnsi="黑体" w:eastAsia="黑体"/>
          <w:sz w:val="30"/>
          <w:szCs w:val="30"/>
        </w:rPr>
        <w:t>119</w:t>
      </w:r>
      <w:r>
        <w:rPr>
          <w:rFonts w:hint="eastAsia" w:ascii="黑体" w:hAnsi="黑体" w:eastAsia="黑体"/>
          <w:sz w:val="30"/>
          <w:szCs w:val="30"/>
        </w:rPr>
        <w:t>；并在确保人身安全情况下采取必要的自救灭火等措施。不能自救时，及时撤离现场。</w:t>
      </w:r>
    </w:p>
    <w:p w14:paraId="5FC70541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第三十一条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发生刑事、治安等案件时，在场学生应保护现场，及时报告公寓管理服务中心值班室、校园报警中心或公安</w:t>
      </w:r>
      <w:r>
        <w:rPr>
          <w:rFonts w:ascii="黑体" w:hAnsi="黑体" w:eastAsia="黑体"/>
          <w:sz w:val="30"/>
          <w:szCs w:val="30"/>
        </w:rPr>
        <w:t>110</w:t>
      </w:r>
      <w:r>
        <w:rPr>
          <w:rFonts w:hint="eastAsia" w:ascii="黑体" w:hAnsi="黑体" w:eastAsia="黑体"/>
          <w:sz w:val="30"/>
          <w:szCs w:val="30"/>
        </w:rPr>
        <w:t>。</w:t>
      </w:r>
    </w:p>
    <w:p w14:paraId="712170C4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第三十二条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丢失钥匙不报告、私配钥匙、私换门锁等造成损失的，责任自负。</w:t>
      </w:r>
    </w:p>
    <w:p w14:paraId="2AF00D75">
      <w:pPr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第三十三条</w:t>
      </w:r>
      <w:r>
        <w:rPr>
          <w:rFonts w:ascii="黑体" w:hAnsi="黑体" w:eastAsia="黑体"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应精心使用和爱护寝室的设施和设备，发现损坏应及时报修；寝室内家具、设施自然损坏，给予免费维修，凡人为损坏、丢失的要按价赔偿；查不到丢失、损坏者则由寝室人员共同赔偿，造成物品污迹严重的，妨碍使用要求的按价赔偿，赔偿标准参考下表。其他物品损坏，根据实际情况另行议定。</w:t>
      </w:r>
    </w:p>
    <w:p w14:paraId="56411DE4">
      <w:pPr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</w:p>
    <w:tbl>
      <w:tblPr>
        <w:tblStyle w:val="5"/>
        <w:tblW w:w="9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1356"/>
        <w:gridCol w:w="1591"/>
        <w:gridCol w:w="1289"/>
        <w:gridCol w:w="1692"/>
        <w:gridCol w:w="1292"/>
      </w:tblGrid>
      <w:tr w14:paraId="2F15D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3" w:type="dxa"/>
            <w:vAlign w:val="center"/>
          </w:tcPr>
          <w:p w14:paraId="1B248C3F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设施名称</w:t>
            </w:r>
          </w:p>
        </w:tc>
        <w:tc>
          <w:tcPr>
            <w:tcW w:w="1356" w:type="dxa"/>
            <w:vAlign w:val="center"/>
          </w:tcPr>
          <w:p w14:paraId="64250D40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价格（元）</w:t>
            </w:r>
          </w:p>
        </w:tc>
        <w:tc>
          <w:tcPr>
            <w:tcW w:w="1591" w:type="dxa"/>
            <w:vAlign w:val="center"/>
          </w:tcPr>
          <w:p w14:paraId="7C7A2B36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设施名称</w:t>
            </w:r>
          </w:p>
        </w:tc>
        <w:tc>
          <w:tcPr>
            <w:tcW w:w="1289" w:type="dxa"/>
            <w:vAlign w:val="center"/>
          </w:tcPr>
          <w:p w14:paraId="75D8A416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价格（元）</w:t>
            </w:r>
          </w:p>
        </w:tc>
        <w:tc>
          <w:tcPr>
            <w:tcW w:w="1692" w:type="dxa"/>
            <w:vAlign w:val="center"/>
          </w:tcPr>
          <w:p w14:paraId="131BC85F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设施名称</w:t>
            </w:r>
          </w:p>
        </w:tc>
        <w:tc>
          <w:tcPr>
            <w:tcW w:w="1292" w:type="dxa"/>
            <w:vAlign w:val="center"/>
          </w:tcPr>
          <w:p w14:paraId="2BE2990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价格（元）</w:t>
            </w:r>
          </w:p>
        </w:tc>
      </w:tr>
      <w:tr w14:paraId="14151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3" w:type="dxa"/>
            <w:vAlign w:val="center"/>
          </w:tcPr>
          <w:p w14:paraId="739075FC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桌子（木制</w:t>
            </w:r>
            <w:r>
              <w:rPr>
                <w:rFonts w:ascii="黑体" w:hAnsi="黑体" w:eastAsia="黑体"/>
                <w:sz w:val="30"/>
                <w:szCs w:val="30"/>
              </w:rPr>
              <w:t>/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铁制）</w:t>
            </w:r>
          </w:p>
        </w:tc>
        <w:tc>
          <w:tcPr>
            <w:tcW w:w="1356" w:type="dxa"/>
            <w:vAlign w:val="center"/>
          </w:tcPr>
          <w:p w14:paraId="080B3E62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300/400</w:t>
            </w:r>
          </w:p>
        </w:tc>
        <w:tc>
          <w:tcPr>
            <w:tcW w:w="1591" w:type="dxa"/>
            <w:vAlign w:val="center"/>
          </w:tcPr>
          <w:p w14:paraId="3264F691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椅子（木制</w:t>
            </w:r>
            <w:r>
              <w:rPr>
                <w:rFonts w:ascii="黑体" w:hAnsi="黑体" w:eastAsia="黑体"/>
                <w:sz w:val="30"/>
                <w:szCs w:val="30"/>
              </w:rPr>
              <w:t>/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铁制）</w:t>
            </w:r>
          </w:p>
        </w:tc>
        <w:tc>
          <w:tcPr>
            <w:tcW w:w="1289" w:type="dxa"/>
            <w:vAlign w:val="center"/>
          </w:tcPr>
          <w:p w14:paraId="6653DEA8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30/60</w:t>
            </w:r>
          </w:p>
        </w:tc>
        <w:tc>
          <w:tcPr>
            <w:tcW w:w="1692" w:type="dxa"/>
            <w:vAlign w:val="center"/>
          </w:tcPr>
          <w:p w14:paraId="3A91C5E6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寝室门（木制</w:t>
            </w:r>
            <w:r>
              <w:rPr>
                <w:rFonts w:ascii="黑体" w:hAnsi="黑体" w:eastAsia="黑体"/>
                <w:sz w:val="30"/>
                <w:szCs w:val="30"/>
              </w:rPr>
              <w:t>/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铁制）</w:t>
            </w:r>
          </w:p>
        </w:tc>
        <w:tc>
          <w:tcPr>
            <w:tcW w:w="1292" w:type="dxa"/>
            <w:vAlign w:val="center"/>
          </w:tcPr>
          <w:p w14:paraId="0561CD7E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300/600</w:t>
            </w:r>
          </w:p>
        </w:tc>
      </w:tr>
      <w:tr w14:paraId="4A7DE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3" w:type="dxa"/>
            <w:vAlign w:val="center"/>
          </w:tcPr>
          <w:p w14:paraId="077177AF"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床护栏</w:t>
            </w:r>
          </w:p>
        </w:tc>
        <w:tc>
          <w:tcPr>
            <w:tcW w:w="1356" w:type="dxa"/>
            <w:vAlign w:val="center"/>
          </w:tcPr>
          <w:p w14:paraId="27092701">
            <w:pPr>
              <w:widowControl/>
              <w:spacing w:line="560" w:lineRule="exact"/>
              <w:ind w:firstLine="450" w:firstLineChars="15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50</w:t>
            </w:r>
          </w:p>
        </w:tc>
        <w:tc>
          <w:tcPr>
            <w:tcW w:w="1591" w:type="dxa"/>
            <w:vAlign w:val="center"/>
          </w:tcPr>
          <w:p w14:paraId="252A0E35"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床板</w:t>
            </w:r>
          </w:p>
        </w:tc>
        <w:tc>
          <w:tcPr>
            <w:tcW w:w="1289" w:type="dxa"/>
            <w:vAlign w:val="center"/>
          </w:tcPr>
          <w:p w14:paraId="596FCD9C">
            <w:pPr>
              <w:widowControl/>
              <w:spacing w:line="560" w:lineRule="exact"/>
              <w:ind w:firstLine="450" w:firstLineChars="15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50</w:t>
            </w:r>
          </w:p>
        </w:tc>
        <w:tc>
          <w:tcPr>
            <w:tcW w:w="1692" w:type="dxa"/>
            <w:vAlign w:val="center"/>
          </w:tcPr>
          <w:p w14:paraId="312FC904">
            <w:pPr>
              <w:widowControl/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床垫子</w:t>
            </w:r>
          </w:p>
        </w:tc>
        <w:tc>
          <w:tcPr>
            <w:tcW w:w="1292" w:type="dxa"/>
            <w:vAlign w:val="center"/>
          </w:tcPr>
          <w:p w14:paraId="113F7526">
            <w:pPr>
              <w:widowControl/>
              <w:spacing w:line="560" w:lineRule="exact"/>
              <w:ind w:firstLine="450" w:firstLineChars="15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 xml:space="preserve">30   </w:t>
            </w:r>
          </w:p>
        </w:tc>
      </w:tr>
      <w:tr w14:paraId="7DF7C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3" w:type="dxa"/>
            <w:vAlign w:val="center"/>
          </w:tcPr>
          <w:p w14:paraId="5BE0FF5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组合床桌面</w:t>
            </w:r>
          </w:p>
        </w:tc>
        <w:tc>
          <w:tcPr>
            <w:tcW w:w="1356" w:type="dxa"/>
            <w:vAlign w:val="center"/>
          </w:tcPr>
          <w:p w14:paraId="61B1048C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120</w:t>
            </w:r>
          </w:p>
        </w:tc>
        <w:tc>
          <w:tcPr>
            <w:tcW w:w="1591" w:type="dxa"/>
            <w:vAlign w:val="center"/>
          </w:tcPr>
          <w:p w14:paraId="5F085B6E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柜门</w:t>
            </w:r>
          </w:p>
        </w:tc>
        <w:tc>
          <w:tcPr>
            <w:tcW w:w="1289" w:type="dxa"/>
            <w:vAlign w:val="center"/>
          </w:tcPr>
          <w:p w14:paraId="5EA86C5E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150</w:t>
            </w:r>
          </w:p>
        </w:tc>
        <w:tc>
          <w:tcPr>
            <w:tcW w:w="1692" w:type="dxa"/>
            <w:vAlign w:val="center"/>
          </w:tcPr>
          <w:p w14:paraId="7E523114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抽屉</w:t>
            </w:r>
            <w:r>
              <w:rPr>
                <w:rFonts w:ascii="黑体" w:hAnsi="黑体" w:eastAsia="黑体"/>
                <w:sz w:val="30"/>
                <w:szCs w:val="30"/>
              </w:rPr>
              <w:t>/</w:t>
            </w:r>
          </w:p>
          <w:p w14:paraId="3231D1C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键盘托</w:t>
            </w:r>
          </w:p>
        </w:tc>
        <w:tc>
          <w:tcPr>
            <w:tcW w:w="1292" w:type="dxa"/>
            <w:vAlign w:val="center"/>
          </w:tcPr>
          <w:p w14:paraId="3C4A003C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50</w:t>
            </w:r>
          </w:p>
        </w:tc>
      </w:tr>
      <w:tr w14:paraId="0CBC6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3" w:type="dxa"/>
            <w:vAlign w:val="center"/>
          </w:tcPr>
          <w:p w14:paraId="26830C20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塑钢门</w:t>
            </w:r>
            <w:r>
              <w:rPr>
                <w:rFonts w:ascii="黑体" w:hAnsi="黑体" w:eastAsia="黑体"/>
                <w:sz w:val="30"/>
                <w:szCs w:val="30"/>
              </w:rPr>
              <w:t>/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窗</w:t>
            </w:r>
          </w:p>
        </w:tc>
        <w:tc>
          <w:tcPr>
            <w:tcW w:w="1356" w:type="dxa"/>
            <w:vAlign w:val="center"/>
          </w:tcPr>
          <w:p w14:paraId="0C74E059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300/200</w:t>
            </w:r>
          </w:p>
        </w:tc>
        <w:tc>
          <w:tcPr>
            <w:tcW w:w="1591" w:type="dxa"/>
            <w:vAlign w:val="center"/>
          </w:tcPr>
          <w:p w14:paraId="7ACF7D10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门玻璃</w:t>
            </w:r>
          </w:p>
          <w:p w14:paraId="04FDBAA3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亮子</w:t>
            </w:r>
          </w:p>
        </w:tc>
        <w:tc>
          <w:tcPr>
            <w:tcW w:w="1289" w:type="dxa"/>
            <w:vAlign w:val="center"/>
          </w:tcPr>
          <w:p w14:paraId="14EDC161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30</w:t>
            </w:r>
          </w:p>
        </w:tc>
        <w:tc>
          <w:tcPr>
            <w:tcW w:w="1692" w:type="dxa"/>
            <w:vAlign w:val="center"/>
          </w:tcPr>
          <w:p w14:paraId="002068A1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窗帘</w:t>
            </w:r>
          </w:p>
        </w:tc>
        <w:tc>
          <w:tcPr>
            <w:tcW w:w="1292" w:type="dxa"/>
            <w:vAlign w:val="center"/>
          </w:tcPr>
          <w:p w14:paraId="765A996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sz w:val="30"/>
                <w:szCs w:val="30"/>
              </w:rPr>
              <w:t>50</w:t>
            </w:r>
          </w:p>
        </w:tc>
      </w:tr>
      <w:tr w14:paraId="05B7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873" w:type="dxa"/>
            <w:vAlign w:val="center"/>
          </w:tcPr>
          <w:p w14:paraId="330D5AE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消防设施</w:t>
            </w:r>
          </w:p>
        </w:tc>
        <w:tc>
          <w:tcPr>
            <w:tcW w:w="1356" w:type="dxa"/>
            <w:vAlign w:val="center"/>
          </w:tcPr>
          <w:p w14:paraId="22657FB4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按时价</w:t>
            </w:r>
          </w:p>
        </w:tc>
        <w:tc>
          <w:tcPr>
            <w:tcW w:w="1591" w:type="dxa"/>
            <w:vAlign w:val="center"/>
          </w:tcPr>
          <w:p w14:paraId="2AE0D4D0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电源设备</w:t>
            </w:r>
          </w:p>
        </w:tc>
        <w:tc>
          <w:tcPr>
            <w:tcW w:w="1289" w:type="dxa"/>
            <w:vAlign w:val="center"/>
          </w:tcPr>
          <w:p w14:paraId="0E5100CA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按时价</w:t>
            </w:r>
          </w:p>
        </w:tc>
        <w:tc>
          <w:tcPr>
            <w:tcW w:w="1692" w:type="dxa"/>
            <w:vAlign w:val="center"/>
          </w:tcPr>
          <w:p w14:paraId="5497F4F6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水、暖器材</w:t>
            </w:r>
          </w:p>
        </w:tc>
        <w:tc>
          <w:tcPr>
            <w:tcW w:w="1292" w:type="dxa"/>
            <w:vAlign w:val="center"/>
          </w:tcPr>
          <w:p w14:paraId="649D6851"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按时价</w:t>
            </w:r>
          </w:p>
        </w:tc>
      </w:tr>
    </w:tbl>
    <w:p w14:paraId="7964AD5A">
      <w:pPr>
        <w:widowControl/>
        <w:spacing w:line="560" w:lineRule="exact"/>
        <w:ind w:firstLine="602" w:firstLineChars="200"/>
        <w:jc w:val="center"/>
        <w:rPr>
          <w:rFonts w:ascii="黑体" w:hAnsi="黑体" w:eastAsia="黑体"/>
          <w:b/>
          <w:sz w:val="30"/>
          <w:szCs w:val="30"/>
        </w:rPr>
      </w:pPr>
    </w:p>
    <w:p w14:paraId="265B3F1F">
      <w:pPr>
        <w:widowControl/>
        <w:spacing w:line="560" w:lineRule="exact"/>
        <w:ind w:firstLine="602" w:firstLineChars="200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第六章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卫生管理</w:t>
      </w:r>
    </w:p>
    <w:p w14:paraId="1591519F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第三十四条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公共区域的环境卫生需制定详尽的卫生标准，重点保证以下方面：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02F4ED93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（一）门厅内外、走廊地面、墙面、顶棚、窗台玻璃、楼梯、自习室</w:t>
      </w:r>
      <w:r>
        <w:rPr>
          <w:rFonts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等公共区域和各项公共设施设备干净整洁，无垃圾、无水渍、无污渍、无手印、无积尘、无蛛网；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094AC558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（二）卫生间、盥洗间、饮水间、洗衣间、晾衣间等房间干净整洁，上下水通畅，垃圾清理及时，无积垢、无积水、无异味；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14818981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（三）保洁工具齐全，按照指定位置存放并定期维护；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4884DDBD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（四）配合学校做好卫生检查、防疫工作。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2C3B7BFB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第三十五条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寝室内的环境卫生由入住学生自行清扫，需制定详尽的卫生标准，相关部门定期进行检查，重点保证以下方面：</w:t>
      </w:r>
      <w:r>
        <w:rPr>
          <w:rFonts w:ascii="黑体" w:hAnsi="黑体" w:eastAsia="黑体"/>
          <w:sz w:val="30"/>
          <w:szCs w:val="30"/>
        </w:rPr>
        <w:t xml:space="preserve">    </w:t>
      </w:r>
    </w:p>
    <w:p w14:paraId="011025F4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（一）室内地面、墙面、顶棚、门窗、家具干净整洁、无垃圾、无杂</w:t>
      </w:r>
      <w:r>
        <w:rPr>
          <w:rFonts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物、无积尘、无蛛网；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638CA5F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（二）寝室内通风良好，空气清新，无异味；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25C86BB2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（三）起床后要叠被、整理床铺，个人物品摆放整齐；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14D864F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（四）室内无乱钉、乱贴、乱挂、乱画、乱拉线现象；</w:t>
      </w:r>
      <w:r>
        <w:rPr>
          <w:rFonts w:ascii="黑体" w:hAnsi="黑体" w:eastAsia="黑体"/>
          <w:sz w:val="30"/>
          <w:szCs w:val="30"/>
        </w:rPr>
        <w:t xml:space="preserve"> </w:t>
      </w:r>
      <w:bookmarkStart w:id="2" w:name="_GoBack"/>
      <w:bookmarkEnd w:id="2"/>
    </w:p>
    <w:p w14:paraId="4CA6B871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（五）家具按设计规范摆放，不得任意挪动。</w:t>
      </w:r>
      <w:r>
        <w:rPr>
          <w:rFonts w:ascii="黑体" w:hAnsi="黑体" w:eastAsia="黑体"/>
          <w:sz w:val="30"/>
          <w:szCs w:val="30"/>
        </w:rPr>
        <w:t xml:space="preserve"> </w:t>
      </w:r>
    </w:p>
    <w:p w14:paraId="32FE96ED">
      <w:pPr>
        <w:widowControl/>
        <w:spacing w:line="56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第七章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公共区管理</w:t>
      </w:r>
      <w:r>
        <w:rPr>
          <w:rFonts w:ascii="黑体" w:hAnsi="黑体" w:eastAsia="黑体"/>
          <w:sz w:val="30"/>
          <w:szCs w:val="30"/>
        </w:rPr>
        <w:t xml:space="preserve">    </w:t>
      </w:r>
    </w:p>
    <w:p w14:paraId="6BF0CDB3">
      <w:pPr>
        <w:widowControl/>
        <w:spacing w:line="5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第三十六条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学生应自觉保持公共区的卫生，爱护公寓周边绿化环境。</w:t>
      </w:r>
    </w:p>
    <w:p w14:paraId="1010306F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第三十七条</w:t>
      </w:r>
      <w:r>
        <w:rPr>
          <w:rFonts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不允许在公共区存放私人杂物的，经发现视为放弃，管理人员有权予以没收。</w:t>
      </w:r>
      <w:bookmarkStart w:id="0" w:name="13"/>
      <w:bookmarkEnd w:id="0"/>
      <w:bookmarkStart w:id="1" w:name="_Toc448388134"/>
    </w:p>
    <w:p w14:paraId="581ED516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第三十八条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学生应自觉节水节电，并按操作规程使用自助设备，违反操作规程造成人身伤害的，责任自负。</w:t>
      </w:r>
    </w:p>
    <w:p w14:paraId="31E180C3">
      <w:pPr>
        <w:widowControl/>
        <w:spacing w:line="560" w:lineRule="exac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第八章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奖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惩</w:t>
      </w:r>
    </w:p>
    <w:p w14:paraId="33159587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第三十九条</w:t>
      </w:r>
      <w:r>
        <w:rPr>
          <w:rFonts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学生公寓内，有下列行为的，视情节、性质、后果等，根据《吉林农业大学学生违纪处分规定</w:t>
      </w:r>
      <w:r>
        <w:rPr>
          <w:rFonts w:ascii="黑体" w:hAnsi="黑体" w:eastAsia="黑体"/>
          <w:sz w:val="30"/>
          <w:szCs w:val="30"/>
        </w:rPr>
        <w:t>(</w:t>
      </w:r>
      <w:r>
        <w:rPr>
          <w:rFonts w:hint="eastAsia" w:ascii="黑体" w:hAnsi="黑体" w:eastAsia="黑体"/>
          <w:sz w:val="30"/>
          <w:szCs w:val="30"/>
        </w:rPr>
        <w:t>试行</w:t>
      </w:r>
      <w:r>
        <w:rPr>
          <w:rFonts w:ascii="黑体" w:hAnsi="黑体" w:eastAsia="黑体"/>
          <w:sz w:val="30"/>
          <w:szCs w:val="30"/>
        </w:rPr>
        <w:t>)</w:t>
      </w:r>
      <w:r>
        <w:rPr>
          <w:rFonts w:hint="eastAsia" w:ascii="黑体" w:hAnsi="黑体" w:eastAsia="黑体"/>
          <w:sz w:val="30"/>
          <w:szCs w:val="30"/>
        </w:rPr>
        <w:t>》等给予相应处分：</w:t>
      </w:r>
    </w:p>
    <w:p w14:paraId="5E1629F8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（一）擅自调换房间或床位；</w:t>
      </w:r>
    </w:p>
    <w:p w14:paraId="1354E557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（二）未经批准在校外住宿；</w:t>
      </w:r>
    </w:p>
    <w:p w14:paraId="3AEEF0B4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（三）擅自在公寓内留宿他人；</w:t>
      </w:r>
    </w:p>
    <w:p w14:paraId="7B9508C5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（四）在公寓内留宿异性；</w:t>
      </w:r>
    </w:p>
    <w:p w14:paraId="1F7E768A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（五）出租床位给他人；</w:t>
      </w:r>
    </w:p>
    <w:p w14:paraId="5196411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（六）在公寓内从事各种经商活动；</w:t>
      </w:r>
    </w:p>
    <w:p w14:paraId="0C4C92C3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（七）在公寓内吸烟、喝酒、赌博；</w:t>
      </w:r>
    </w:p>
    <w:p w14:paraId="70A6F02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（八）霸占、藏匿、盗窃公私财物；</w:t>
      </w:r>
    </w:p>
    <w:p w14:paraId="4F589DB4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（九）故意毁损、破坏公私财物；</w:t>
      </w:r>
    </w:p>
    <w:p w14:paraId="15A6D471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（十）吵闹叫喊、大声喧哗、影响他人休息；</w:t>
      </w:r>
    </w:p>
    <w:p w14:paraId="3C30A28E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（十一）违反作息制度，不服从管理人员管理；</w:t>
      </w:r>
    </w:p>
    <w:p w14:paraId="30D90192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（十二）无理取闹，侮辱、殴打管理人员；</w:t>
      </w:r>
    </w:p>
    <w:p w14:paraId="101E0BA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（十三）无端动用或破坏消防器材；</w:t>
      </w:r>
    </w:p>
    <w:p w14:paraId="6BB2597D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（十四）燃点蜡烛、焚烧物品、使用明火；</w:t>
      </w:r>
    </w:p>
    <w:p w14:paraId="341FFD5B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（十五）使用发热易燃危险电器，乱拆、乱接电线；</w:t>
      </w:r>
    </w:p>
    <w:p w14:paraId="4A476A18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（十六）存放有毒、有害、易燃、易爆、危险物品；</w:t>
      </w:r>
    </w:p>
    <w:p w14:paraId="30BDF2FC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（十七）观看反动、色情音像制品及书刊；</w:t>
      </w:r>
    </w:p>
    <w:p w14:paraId="021F8657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（十八）在有关部门组织的专项检查中评定为不合格；</w:t>
      </w:r>
    </w:p>
    <w:p w14:paraId="0E717473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（十九）随地吐痰、乱贴、乱刻、乱画、乱扔废弃物、乱倒饭菜、饲养动物，破坏公共卫生；</w:t>
      </w:r>
    </w:p>
    <w:p w14:paraId="318D2623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（二十）将公寓钥匙借于他人，私自调换门锁或另加门锁；</w:t>
      </w:r>
    </w:p>
    <w:p w14:paraId="0EFCECB4">
      <w:pPr>
        <w:widowControl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（二十一）其它有悖公序良俗、危害安全、影响恶劣的行为。</w:t>
      </w:r>
    </w:p>
    <w:p w14:paraId="18115CA8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第四十条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学校将学生在公寓内的表现，纳入其综合评价体系，并作为学生参与各类评奖评优的重要依据。</w:t>
      </w:r>
    </w:p>
    <w:p w14:paraId="6D1C5366">
      <w:pPr>
        <w:widowControl/>
        <w:spacing w:line="560" w:lineRule="exact"/>
        <w:ind w:firstLine="602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第四十一条</w:t>
      </w:r>
      <w:r>
        <w:rPr>
          <w:rFonts w:ascii="黑体" w:hAnsi="黑体" w:eastAsia="黑体"/>
          <w:b/>
          <w:sz w:val="30"/>
          <w:szCs w:val="30"/>
        </w:rPr>
        <w:t xml:space="preserve"> </w:t>
      </w:r>
      <w:r>
        <w:rPr>
          <w:rFonts w:hint="eastAsia" w:ascii="黑体" w:hAnsi="黑体" w:eastAsia="黑体"/>
          <w:sz w:val="30"/>
          <w:szCs w:val="30"/>
        </w:rPr>
        <w:t>参与公寓管理工作的单位和个人，工作情况纳入各自年终考核评定中，对因疏于管理、学生教育而造成不良后果的，按照国家和学校相关规定追究责任。</w:t>
      </w:r>
    </w:p>
    <w:p w14:paraId="72B85CFF">
      <w:pPr>
        <w:widowControl/>
        <w:spacing w:line="56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第九章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b/>
          <w:sz w:val="30"/>
          <w:szCs w:val="30"/>
        </w:rPr>
        <w:t>附则</w:t>
      </w:r>
    </w:p>
    <w:p w14:paraId="25D4A709">
      <w:pPr>
        <w:widowControl/>
        <w:spacing w:line="560" w:lineRule="exact"/>
        <w:ind w:firstLine="556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第四十二条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本办法由学生工作处（学生公寓管理服务中心）负责解释。</w:t>
      </w:r>
    </w:p>
    <w:p w14:paraId="6A18DC9C">
      <w:pPr>
        <w:widowControl/>
        <w:spacing w:line="560" w:lineRule="exact"/>
        <w:ind w:firstLine="556"/>
        <w:rPr>
          <w:rFonts w:ascii="华文楷体" w:hAnsi="华文楷体" w:eastAsia="黑体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第四十三条</w:t>
      </w:r>
      <w:r>
        <w:rPr>
          <w:rFonts w:ascii="黑体" w:hAnsi="黑体" w:eastAsia="黑体"/>
          <w:b/>
          <w:sz w:val="30"/>
          <w:szCs w:val="30"/>
        </w:rPr>
        <w:t xml:space="preserve">  </w:t>
      </w:r>
      <w:r>
        <w:rPr>
          <w:rFonts w:hint="eastAsia" w:ascii="黑体" w:hAnsi="黑体" w:eastAsia="黑体"/>
          <w:sz w:val="30"/>
          <w:szCs w:val="30"/>
        </w:rPr>
        <w:t>本办法自发布之日起实施，原《吉林农业大学学生公寓管理细则（试行）》废止。</w:t>
      </w:r>
      <w:bookmarkEnd w:id="1"/>
    </w:p>
    <w:p w14:paraId="165842DE"/>
    <w:sectPr>
      <w:footerReference r:id="rId3" w:type="even"/>
      <w:pgSz w:w="11906" w:h="16838"/>
      <w:pgMar w:top="1440" w:right="1247" w:bottom="1440" w:left="124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42C6E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4B9570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37"/>
    <w:rsid w:val="00094137"/>
    <w:rsid w:val="006146F0"/>
    <w:rsid w:val="00DB55CB"/>
    <w:rsid w:val="00E025D4"/>
    <w:rsid w:val="00FD247A"/>
    <w:rsid w:val="23015859"/>
    <w:rsid w:val="5613281D"/>
    <w:rsid w:val="5FE9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link w:val="10"/>
    <w:qFormat/>
    <w:uiPriority w:val="99"/>
    <w:pPr>
      <w:widowControl/>
      <w:jc w:val="center"/>
      <w:outlineLvl w:val="1"/>
    </w:pPr>
    <w:rPr>
      <w:rFonts w:ascii="宋体" w:hAnsi="宋体" w:cs="宋体"/>
      <w:b/>
      <w:bCs/>
      <w:color w:val="34A2BA"/>
      <w:kern w:val="0"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2 字符"/>
    <w:basedOn w:val="6"/>
    <w:link w:val="2"/>
    <w:qFormat/>
    <w:uiPriority w:val="99"/>
    <w:rPr>
      <w:rFonts w:ascii="宋体" w:hAnsi="宋体" w:eastAsia="宋体" w:cs="宋体"/>
      <w:b/>
      <w:bCs/>
      <w:color w:val="34A2BA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4538</Words>
  <Characters>4581</Characters>
  <Lines>34</Lines>
  <Paragraphs>9</Paragraphs>
  <TotalTime>14</TotalTime>
  <ScaleCrop>false</ScaleCrop>
  <LinksUpToDate>false</LinksUpToDate>
  <CharactersWithSpaces>4689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2019-10-16T08:10:00Z</dcterms:created>
  <dc:creator> </dc:creator>
  <cp:lastModifiedBy>王军</cp:lastModifiedBy>
  <dcterms:modified xsi:type="dcterms:W3CDTF">2025-03-29T02:06:33Z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6518A31B9C4748D9875E312BB1C3C5F5_13</vt:lpwstr>
  </property>
  <property fmtid="{D5CDD505-2E9C-101B-9397-08002B2CF9AE}" pid="4" name="KSOTemplateDocerSaveRecord">
    <vt:lpwstr>eyJoZGlkIjoiOTk1NTYwNTY5NGQ3ZmRkMGJkMmJiOTNkODU1Yzk5NmYiLCJ1c2VySWQiOiI1ODA0MzUwODgifQ==</vt:lpwstr>
  </property>
</Properties>
</file>